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48"/>
    <w:p>
      <w:pPr>
        <w:pStyle w:val="Heading1"/>
      </w:pPr>
      <w:r>
        <w:t xml:space="preserve">Homiletics Analysis: Ezekiel 48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48 is the climactic chapter of the book’s closing vision (chapters 40–48), providing the final allotment of the land to the twelve tribes of Israel and specifying the sacred district at the center of the land. The chapter divides into three movements: the northern tribal allotments (vv. 1–7), the central sacred district with portions for priests, Levites, the city, and the prince (vv. 8–22), the southern tribal allotments (vv. 23–29), and the dimensions and gates of the holy city (vv. 30–35). The chapter closes with the passage’s most theologically freighted statement — the new name of the city:</w:t>
      </w:r>
      <w:r>
        <w:t xml:space="preserve"> </w:t>
      </w:r>
      <w:r>
        <w:rPr>
          <w:i/>
          <w:iCs/>
        </w:rPr>
        <w:t xml:space="preserve">YHWH Shammah</w:t>
      </w:r>
      <w:r>
        <w:t xml:space="preserve">,</w:t>
      </w:r>
      <w:r>
        <w:t xml:space="preserve"> </w:t>
      </w:r>
      <w:r>
        <w:t xml:space="preserve">“The LORD is there”</w:t>
      </w:r>
      <w:r>
        <w:t xml:space="preserve"> </w:t>
      </w:r>
      <w:r>
        <w:t xml:space="preserve">(v. 35). The geography is idealized and symmetrical, bearing no relationship to Israel’s historical tribal allotments under Joshua. Seven tribes are placed north of the sacred center; five tribes south of it. The sacred district itself is mathematically ordered — priest’s portion, Levite’s portion, city portion, prince’s portions flanking on east and west — with the sanctuary at the structural and theological center of the whole. The twelve gates of the city bear the names of the twelve tribes, including Joseph and Levi (replacing the Josephite double portion of Ephraim and Manasseh from Joshua’s allotment). The entire vision is not topographical survey but theological architecture: the restored land organized around the presence of God, with every tribe having its place, every portion its sacred order, and the whole creation reoriented around its proper center.</w:t>
      </w:r>
    </w:p>
    <w:p>
      <w:pPr>
        <w:pStyle w:val="BodyText"/>
      </w:pPr>
      <w:r>
        <w:rPr>
          <w:b/>
          <w:bCs/>
        </w:rPr>
        <w:t xml:space="preserve">This Text — Intent:</w:t>
      </w:r>
    </w:p>
    <w:p>
      <w:pPr>
        <w:pStyle w:val="BodyText"/>
      </w:pPr>
      <w:r>
        <w:t xml:space="preserve">God is summoning His exiled, scattered, seemingly abandoned people to fix their eyes on a guaranteed future in which His presence among them is permanent, complete, and ordering to everything else. The intent is not merely to inform about future geography but to reorient the affections and hopes of a people who have lost their land, their temple, and their visible connection to covenant promise. The driving question underlying chapters 40–48 is:</w:t>
      </w:r>
      <w:r>
        <w:t xml:space="preserve"> </w:t>
      </w:r>
      <w:r>
        <w:rPr>
          <w:i/>
          <w:iCs/>
        </w:rPr>
        <w:t xml:space="preserve">Can God dwell again with His people after the glory departed (Ezekiel 10–11)?</w:t>
      </w:r>
      <w:r>
        <w:t xml:space="preserve"> </w:t>
      </w:r>
      <w:r>
        <w:t xml:space="preserve">Chapter 48 answers with finality: not only can He — He will, and the city itself will bear His name as its permanent identity. The effect God is seeking is trust, hope, and reoriented worship — the exiles and all subsequent readers are being called to live now in light of a future that is as certain as the name God places on the city.</w:t>
      </w:r>
    </w:p>
    <w:p>
      <w:r>
        <w:pict>
          <v:rect style="width:0;height:1.5pt" o:hralign="center" o:hrstd="t" o:hr="t"/>
        </w:pict>
      </w:r>
    </w:p>
    <w:p>
      <w:pPr>
        <w:pStyle w:val="FirstParagraph"/>
      </w:pPr>
      <w:r>
        <w:rPr>
          <w:b/>
          <w:bCs/>
        </w:rPr>
        <w:t xml:space="preserve">Subject Sentence:</w:t>
      </w:r>
      <w:r>
        <w:t xml:space="preserve"> </w:t>
      </w:r>
      <w:r>
        <w:t xml:space="preserve">The LORD reclaims His land, orders it around His presence, and names the city for Himself forever.</w:t>
      </w:r>
    </w:p>
    <w:p>
      <w:r>
        <w:pict>
          <v:rect style="width:0;height:1.5pt" o:hralign="center" o:hrstd="t" o:hr="t"/>
        </w:pict>
      </w:r>
    </w:p>
    <w:p>
      <w:pPr>
        <w:pStyle w:val="FirstParagraph"/>
      </w:pPr>
      <w:r>
        <w:rPr>
          <w:b/>
          <w:bCs/>
        </w:rPr>
        <w:t xml:space="preserve">Primary Claim:</w:t>
      </w:r>
      <w:r>
        <w:t xml:space="preserve"> </w:t>
      </w:r>
      <w:r>
        <w:t xml:space="preserve">God is assuring His people that the exile does not have the last word — He will dwell among them permanently, and the entire created order will one day be organized around His presence; therefore they must not despair but live in the certainty of that future now.</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Literalist-Dispensational Reading:</w:t>
      </w:r>
      <w:r>
        <w:t xml:space="preserve"> </w:t>
      </w:r>
      <w:r>
        <w:t xml:space="preserve">The dominant alternative to the Reformed reading on Ezekiel 40–48, including chapter 48, is the dispensational literalist interpretation, which holds that these chapters describe a future millennial temple and land redistribution to be fulfilled literally during a thousand-year reign of Christ on earth after His return. On this reading, the tribal allotments of chapter 48 will be physically enacted, a rebuilt temple will stand in Israel, and the Zadokite priesthood will offer animal sacrifices once more as memorials to Christ’s atonement. This reading is pressed by scholars such as Charles Feinberg and John Walvoord, and its appeal lies in a genuine concern not to spiritualize away the concreteness of Old Testament promise. The Reformed response is not to deny the concreteness but to argue that the vision itself signals its own non-literal register. The geography of Ezekiel 48 is demonstrably idealized: the tribal strips run in perfectly equal horizontal bands across the land (contrary to all topography), the sacred district is a precise mathematical square, and the city is larger than any known ancient city. The vision is not suppressing its symbolism — it is deploying it deliberately. Furthermore, the New Testament’s own handling of Ezekiel’s temple vision (Revelation 21–22) applies the imagery to the New Jerusalem descending from heaven, not to an earthly millennial structure. The Reformed reading</w:t>
      </w:r>
      <w:r>
        <w:t xml:space="preserve"> </w:t>
      </w:r>
      <w:r>
        <w:rPr>
          <w:i/>
          <w:iCs/>
        </w:rPr>
        <w:t xml:space="preserve">refutes</w:t>
      </w:r>
      <w:r>
        <w:t xml:space="preserve"> </w:t>
      </w:r>
      <w:r>
        <w:t xml:space="preserve">the literalist conclusion while</w:t>
      </w:r>
      <w:r>
        <w:t xml:space="preserve"> </w:t>
      </w:r>
      <w:r>
        <w:rPr>
          <w:i/>
          <w:iCs/>
        </w:rPr>
        <w:t xml:space="preserve">acknowledging</w:t>
      </w:r>
      <w:r>
        <w:t xml:space="preserve"> </w:t>
      </w:r>
      <w:r>
        <w:t xml:space="preserve">the dispensational instinct that covenant promise to Israel must not be emptied of content or dissolved into abstraction.</w:t>
      </w:r>
    </w:p>
    <w:p>
      <w:pPr>
        <w:pStyle w:val="BodyText"/>
      </w:pPr>
      <w:r>
        <w:rPr>
          <w:b/>
          <w:bCs/>
        </w:rPr>
        <w:t xml:space="preserve">Lutheran Law/Gospel Reading:</w:t>
      </w:r>
      <w:r>
        <w:t xml:space="preserve"> </w:t>
      </w:r>
      <w:r>
        <w:t xml:space="preserve">A Lutheran exposition of chapter 48 might emphasize the chapter’s closing gift — the name</w:t>
      </w:r>
      <w:r>
        <w:t xml:space="preserve"> </w:t>
      </w:r>
      <w:r>
        <w:rPr>
          <w:i/>
          <w:iCs/>
        </w:rPr>
        <w:t xml:space="preserve">YHWH Shammah</w:t>
      </w:r>
      <w:r>
        <w:t xml:space="preserve"> </w:t>
      </w:r>
      <w:r>
        <w:t xml:space="preserve">— as pure gospel: unconditional presence freely given to a people who cannot earn it. This emphasis is correct as far as it goes and genuinely illuminates the chapter’s intent. The Reformed reading</w:t>
      </w:r>
      <w:r>
        <w:t xml:space="preserve"> </w:t>
      </w:r>
      <w:r>
        <w:rPr>
          <w:i/>
          <w:iCs/>
        </w:rPr>
        <w:t xml:space="preserve">acknowledges</w:t>
      </w:r>
      <w:r>
        <w:t xml:space="preserve"> </w:t>
      </w:r>
      <w:r>
        <w:t xml:space="preserve">this contribution without qualification. The difference is one of canonical framing: the Lutheran reading tends to treat the Old Testament vision primarily as Law (the elaborate order and priestly regulations exposing Israel’s inability) relieved by the gospel moment of the divine name at the close. The Reformed reading sees the entire chapter as promise — the ordered land, the sacred district, the tribal allotments, and the divine name are all covenant gift, not law-and-gospel alternation. The priestly regulations in the surrounding chapters are not primarily accusatory but constructive: they describe what genuine holiness and access to God look like when God makes them possible.</w:t>
      </w:r>
    </w:p>
    <w:p>
      <w:pPr>
        <w:pStyle w:val="BodyText"/>
      </w:pPr>
      <w:r>
        <w:rPr>
          <w:b/>
          <w:bCs/>
        </w:rPr>
        <w:t xml:space="preserve">Allegorical/Spiritualizing Reading:</w:t>
      </w:r>
      <w:r>
        <w:t xml:space="preserve"> </w:t>
      </w:r>
      <w:r>
        <w:t xml:space="preserve">A common error in less rigorous exposition is to immediately allegorize the tribal allotments into spiritual states or church categories — the northern tribes become</w:t>
      </w:r>
      <w:r>
        <w:t xml:space="preserve"> </w:t>
      </w:r>
      <w:r>
        <w:t xml:space="preserve">“carnal believers,”</w:t>
      </w:r>
      <w:r>
        <w:t xml:space="preserve"> </w:t>
      </w:r>
      <w:r>
        <w:t xml:space="preserve">the priests’ portion becomes</w:t>
      </w:r>
      <w:r>
        <w:t xml:space="preserve"> </w:t>
      </w:r>
      <w:r>
        <w:t xml:space="preserve">“full-time Christian workers,”</w:t>
      </w:r>
      <w:r>
        <w:t xml:space="preserve"> </w:t>
      </w:r>
      <w:r>
        <w:t xml:space="preserve">etc. This reading must be</w:t>
      </w:r>
      <w:r>
        <w:t xml:space="preserve"> </w:t>
      </w:r>
      <w:r>
        <w:rPr>
          <w:i/>
          <w:iCs/>
        </w:rPr>
        <w:t xml:space="preserve">refuted</w:t>
      </w:r>
      <w:r>
        <w:t xml:space="preserve"> </w:t>
      </w:r>
      <w:r>
        <w:t xml:space="preserve">because it imposes a grid the text does not supply and dissolves the concrete covenantal specificity of the vision. The tribes are the tribes. The priests are priests. The land is the land. The proper movement is not from the concrete to the allegorical but from the concrete to the typological-eschatological: this vision uses Israel’s covenant categories to point forward to a reality that is more, not less, concrete than the vision itself — the new creation, the New Jerusalem, the permanent dwelling of God among His people across all nations.</w:t>
      </w:r>
    </w:p>
    <w:p>
      <w:pPr>
        <w:pStyle w:val="BodyText"/>
      </w:pPr>
      <w:r>
        <w:rPr>
          <w:b/>
          <w:bCs/>
        </w:rPr>
        <w:t xml:space="preserve">The Reformed Reading:</w:t>
      </w:r>
      <w:r>
        <w:t xml:space="preserve"> </w:t>
      </w:r>
      <w:r>
        <w:t xml:space="preserve">The Reformed reading treats Ezekiel 48 as an idealized, visionary, and typological picture of eschatological restoration — a prophetic architecture that uses Israel’s covenant categories (land, tribes, priesthood, city, temple) to describe the ultimate reality that all of Israel’s history was pointing toward: God permanently present with His redeemed people in a renewed creation. The New Testament fulfillment of this vision is not a rebuilt earthly temple but the New Jerusalem of Revelation 21–22, which explicitly draws on Ezekiel 40–48 imagery, including the river of life (Ezek. 47; Rev. 22), the city’s dimensions and gates (Ezek. 48:30–35; Rev. 21:12–13), and the defining mark of the city — God’s permanent presence — expressed in Revelation 21:3:</w:t>
      </w:r>
      <w:r>
        <w:t xml:space="preserve"> </w:t>
      </w:r>
      <w:r>
        <w:rPr>
          <w:i/>
          <w:iCs/>
        </w:rPr>
        <w:t xml:space="preserve">“Behold, the dwelling place of God is with man.”</w:t>
      </w:r>
      <w:r>
        <w:t xml:space="preserve"> </w:t>
      </w:r>
      <w:r>
        <w:t xml:space="preserve">The Reformed reading honors the concreteness of the vision while insisting that its concrete categories are typological, pointing to a fulfillment that transcends and exceeds them.</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Ezekiel 10–11</w:t>
      </w:r>
      <w:r>
        <w:t xml:space="preserve"> </w:t>
      </w:r>
      <w:r>
        <w:t xml:space="preserve">— The departure of the glory of the LORD from the temple and the city establishes the crisis that chapters 40–48 resolve; chapter 48’s final name answers the departure of chapters 10–11 directly.</w:t>
      </w:r>
    </w:p>
    <w:p>
      <w:pPr>
        <w:pStyle w:val="Compact"/>
        <w:numPr>
          <w:ilvl w:val="0"/>
          <w:numId w:val="1001"/>
        </w:numPr>
      </w:pPr>
      <w:r>
        <w:rPr>
          <w:b/>
          <w:bCs/>
        </w:rPr>
        <w:t xml:space="preserve">Leviticus 26:11–12</w:t>
      </w:r>
      <w:r>
        <w:t xml:space="preserve"> </w:t>
      </w:r>
      <w:r>
        <w:t xml:space="preserve">—</w:t>
      </w:r>
      <w:r>
        <w:t xml:space="preserve"> </w:t>
      </w:r>
      <w:r>
        <w:rPr>
          <w:i/>
          <w:iCs/>
        </w:rPr>
        <w:t xml:space="preserve">“I will make my dwelling among you… I will walk among you and will be your God, and you shall be my people”</w:t>
      </w:r>
      <w:r>
        <w:t xml:space="preserve"> </w:t>
      </w:r>
      <w:r>
        <w:t xml:space="preserve">— the covenant promise whose ultimate fulfillment Ezekiel 48 envisions.</w:t>
      </w:r>
    </w:p>
    <w:p>
      <w:pPr>
        <w:pStyle w:val="Compact"/>
        <w:numPr>
          <w:ilvl w:val="0"/>
          <w:numId w:val="1001"/>
        </w:numPr>
      </w:pPr>
      <w:r>
        <w:rPr>
          <w:b/>
          <w:bCs/>
        </w:rPr>
        <w:t xml:space="preserve">Revelation 21:1–4, 22–27</w:t>
      </w:r>
      <w:r>
        <w:t xml:space="preserve"> </w:t>
      </w:r>
      <w:r>
        <w:t xml:space="preserve">— The New Jerusalem vision draws explicitly on Ezekiel 40–48, identifying the eschatological reality the Ezekiel vision typologically anticipates; the city needs no temple because the LORD God Almighty and the Lamb are its temple.</w:t>
      </w:r>
    </w:p>
    <w:p>
      <w:pPr>
        <w:pStyle w:val="Compact"/>
        <w:numPr>
          <w:ilvl w:val="0"/>
          <w:numId w:val="1001"/>
        </w:numPr>
      </w:pPr>
      <w:r>
        <w:rPr>
          <w:b/>
          <w:bCs/>
        </w:rPr>
        <w:t xml:space="preserve">Revelation 21:12–13</w:t>
      </w:r>
      <w:r>
        <w:t xml:space="preserve"> </w:t>
      </w:r>
      <w:r>
        <w:t xml:space="preserve">— The twelve gates of the New Jerusalem bearing the names of the twelve tribes of Israel directly echo Ezekiel 48:30–35, confirming the canonical trajectory of the vision.</w:t>
      </w:r>
    </w:p>
    <w:p>
      <w:pPr>
        <w:pStyle w:val="Compact"/>
        <w:numPr>
          <w:ilvl w:val="0"/>
          <w:numId w:val="1001"/>
        </w:numPr>
      </w:pPr>
      <w:r>
        <w:rPr>
          <w:b/>
          <w:bCs/>
        </w:rPr>
        <w:t xml:space="preserve">John 1:14</w:t>
      </w:r>
      <w:r>
        <w:t xml:space="preserve"> </w:t>
      </w:r>
      <w:r>
        <w:t xml:space="preserve">—</w:t>
      </w:r>
      <w:r>
        <w:t xml:space="preserve"> </w:t>
      </w:r>
      <w:r>
        <w:rPr>
          <w:i/>
          <w:iCs/>
        </w:rPr>
        <w:t xml:space="preserve">“The Word became flesh and dwelt (</w:t>
      </w:r>
      <w:r>
        <w:rPr>
          <w:i/>
          <w:i/>
          <w:iCs/>
          <w:iCs/>
        </w:rPr>
        <w:t xml:space="preserve">eskēnōsen</w:t>
      </w:r>
      <w:r>
        <w:rPr>
          <w:i/>
          <w:iCs/>
        </w:rPr>
        <w:t xml:space="preserve">, tabernacled) among us”</w:t>
      </w:r>
      <w:r>
        <w:t xml:space="preserve"> </w:t>
      </w:r>
      <w:r>
        <w:t xml:space="preserve">— the incarnation as the inaugurated fulfillment of</w:t>
      </w:r>
      <w:r>
        <w:t xml:space="preserve"> </w:t>
      </w:r>
      <w:r>
        <w:rPr>
          <w:i/>
          <w:iCs/>
        </w:rPr>
        <w:t xml:space="preserve">YHWH Shammah</w:t>
      </w:r>
      <w:r>
        <w:t xml:space="preserve">; God does not merely promise to be there — He comes.</w:t>
      </w:r>
    </w:p>
    <w:p>
      <w:r>
        <w:pict>
          <v:rect style="width:0;height:1.5pt" o:hralign="center" o:hrstd="t" o:hr="t"/>
        </w:pict>
      </w:r>
    </w:p>
    <w:p>
      <w:pPr>
        <w:pStyle w:val="FirstParagraph"/>
      </w:pPr>
      <w:r>
        <w:rPr>
          <w:b/>
          <w:bCs/>
        </w:rPr>
        <w:t xml:space="preserve">Aim:</w:t>
      </w:r>
      <w:r>
        <w:t xml:space="preserve"> </w:t>
      </w:r>
      <w:r>
        <w:t xml:space="preserve">To show that Ezekiel 48’s vision of the LORD-named city is not arcane geography but the anchor of covenant hope — and to call the reader to live in the present from the certainty of God’s permanent future presence.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Northern boundary of the land; Dan’s allotment at the far north</w:t>
            </w:r>
          </w:p>
        </w:tc>
        <w:tc>
          <w:tcPr/>
          <w:p>
            <w:pPr>
              <w:pStyle w:val="Compact"/>
            </w:pPr>
            <w:r>
              <w:t xml:space="preserve">Dan listed first despite its troubled history (cf. Judg. 18); grace in the ordering</w:t>
            </w:r>
          </w:p>
        </w:tc>
      </w:tr>
      <w:tr>
        <w:tc>
          <w:tcPr/>
          <w:p>
            <w:pPr>
              <w:pStyle w:val="Compact"/>
            </w:pPr>
            <w:r>
              <w:t xml:space="preserve">2–3</w:t>
            </w:r>
          </w:p>
        </w:tc>
        <w:tc>
          <w:tcPr/>
          <w:p>
            <w:pPr>
              <w:pStyle w:val="Compact"/>
            </w:pPr>
            <w:r>
              <w:t xml:space="preserve">Asher’s and Naphtali’s allotments, each a full horizontal strip</w:t>
            </w:r>
          </w:p>
        </w:tc>
        <w:tc>
          <w:tcPr/>
          <w:p>
            <w:pPr>
              <w:pStyle w:val="Compact"/>
            </w:pPr>
            <w:r>
              <w:t xml:space="preserve">Perfect symmetry — no tribe receives more or less in this idealized vision</w:t>
            </w:r>
          </w:p>
        </w:tc>
      </w:tr>
      <w:tr>
        <w:tc>
          <w:tcPr/>
          <w:p>
            <w:pPr>
              <w:pStyle w:val="Compact"/>
            </w:pPr>
            <w:r>
              <w:t xml:space="preserve">4</w:t>
            </w:r>
          </w:p>
        </w:tc>
        <w:tc>
          <w:tcPr/>
          <w:p>
            <w:pPr>
              <w:pStyle w:val="Compact"/>
            </w:pPr>
            <w:r>
              <w:t xml:space="preserve">Manasseh’s allotment</w:t>
            </w:r>
          </w:p>
        </w:tc>
        <w:tc>
          <w:tcPr/>
          <w:p>
            <w:pPr>
              <w:pStyle w:val="Compact"/>
            </w:pPr>
            <w:r>
              <w:t xml:space="preserve">Joseph represented here by Manasseh (one of two Josephite portions)</w:t>
            </w:r>
          </w:p>
        </w:tc>
      </w:tr>
      <w:tr>
        <w:tc>
          <w:tcPr/>
          <w:p>
            <w:pPr>
              <w:pStyle w:val="Compact"/>
            </w:pPr>
            <w:r>
              <w:t xml:space="preserve">5</w:t>
            </w:r>
          </w:p>
        </w:tc>
        <w:tc>
          <w:tcPr/>
          <w:p>
            <w:pPr>
              <w:pStyle w:val="Compact"/>
            </w:pPr>
            <w:r>
              <w:t xml:space="preserve">Ephraim’s allotment</w:t>
            </w:r>
          </w:p>
        </w:tc>
        <w:tc>
          <w:tcPr/>
          <w:p>
            <w:pPr>
              <w:pStyle w:val="Compact"/>
            </w:pPr>
            <w:r>
              <w:t xml:space="preserve">The other Josephite half-tribe</w:t>
            </w:r>
          </w:p>
        </w:tc>
      </w:tr>
      <w:tr>
        <w:tc>
          <w:tcPr/>
          <w:p>
            <w:pPr>
              <w:pStyle w:val="Compact"/>
            </w:pPr>
            <w:r>
              <w:t xml:space="preserve">6</w:t>
            </w:r>
          </w:p>
        </w:tc>
        <w:tc>
          <w:tcPr/>
          <w:p>
            <w:pPr>
              <w:pStyle w:val="Compact"/>
            </w:pPr>
            <w:r>
              <w:t xml:space="preserve">Reuben’s allotment</w:t>
            </w:r>
          </w:p>
        </w:tc>
        <w:tc>
          <w:tcPr/>
          <w:p>
            <w:pPr>
              <w:pStyle w:val="Compact"/>
            </w:pPr>
            <w:r>
              <w:t xml:space="preserve">Reuben retains his inheritance despite the Genesis 49:3–4 forfeiture language — restoration overrides historical disqualification</w:t>
            </w:r>
          </w:p>
        </w:tc>
      </w:tr>
      <w:tr>
        <w:tc>
          <w:tcPr/>
          <w:p>
            <w:pPr>
              <w:pStyle w:val="Compact"/>
            </w:pPr>
            <w:r>
              <w:t xml:space="preserve">7</w:t>
            </w:r>
          </w:p>
        </w:tc>
        <w:tc>
          <w:tcPr/>
          <w:p>
            <w:pPr>
              <w:pStyle w:val="Compact"/>
            </w:pPr>
            <w:r>
              <w:t xml:space="preserve">Judah’s allotment — immediately north of the sacred district</w:t>
            </w:r>
          </w:p>
        </w:tc>
        <w:tc>
          <w:tcPr/>
          <w:p>
            <w:pPr>
              <w:pStyle w:val="Compact"/>
            </w:pPr>
            <w:r>
              <w:t xml:space="preserve">Judah’s position adjacent to the sacred center reflects Davidic/Messianic prominence</w:t>
            </w:r>
          </w:p>
        </w:tc>
      </w:tr>
      <w:tr>
        <w:tc>
          <w:tcPr/>
          <w:p>
            <w:pPr>
              <w:pStyle w:val="Compact"/>
            </w:pPr>
            <w:r>
              <w:t xml:space="preserve">8–12</w:t>
            </w:r>
          </w:p>
        </w:tc>
        <w:tc>
          <w:tcPr/>
          <w:p>
            <w:pPr>
              <w:pStyle w:val="Compact"/>
            </w:pPr>
            <w:r>
              <w:t xml:space="preserve">The sacred district (terumah): priests’ portion with the sanctuary at its center</w:t>
            </w:r>
          </w:p>
        </w:tc>
        <w:tc>
          <w:tcPr/>
          <w:p>
            <w:pPr>
              <w:pStyle w:val="Compact"/>
            </w:pPr>
            <w:r>
              <w:t xml:space="preserve">The sanctuary is embedded in the priests’ portion — access to God is mediated through holy priesthood</w:t>
            </w:r>
          </w:p>
        </w:tc>
      </w:tr>
      <w:tr>
        <w:tc>
          <w:tcPr/>
          <w:p>
            <w:pPr>
              <w:pStyle w:val="Compact"/>
            </w:pPr>
            <w:r>
              <w:t xml:space="preserve">13–14</w:t>
            </w:r>
          </w:p>
        </w:tc>
        <w:tc>
          <w:tcPr/>
          <w:p>
            <w:pPr>
              <w:pStyle w:val="Compact"/>
            </w:pPr>
            <w:r>
              <w:t xml:space="preserve">The Levites’ portion alongside the priests</w:t>
            </w:r>
          </w:p>
        </w:tc>
        <w:tc>
          <w:tcPr/>
          <w:p>
            <w:pPr>
              <w:pStyle w:val="Compact"/>
            </w:pPr>
            <w:r>
              <w:t xml:space="preserve">Levites serve but do not approach the altar; their portion mirrors the priests’ but is distinct</w:t>
            </w:r>
          </w:p>
        </w:tc>
      </w:tr>
      <w:tr>
        <w:tc>
          <w:tcPr/>
          <w:p>
            <w:pPr>
              <w:pStyle w:val="Compact"/>
            </w:pPr>
            <w:r>
              <w:t xml:space="preserve">15–19</w:t>
            </w:r>
          </w:p>
        </w:tc>
        <w:tc>
          <w:tcPr/>
          <w:p>
            <w:pPr>
              <w:pStyle w:val="Compact"/>
            </w:pPr>
            <w:r>
              <w:t xml:space="preserve">The city portion — common land for the city and its workers</w:t>
            </w:r>
          </w:p>
        </w:tc>
        <w:tc>
          <w:tcPr/>
          <w:p>
            <w:pPr>
              <w:pStyle w:val="Compact"/>
            </w:pPr>
            <w:r>
              <w:t xml:space="preserve">The city is not the sanctuary; the secular and the sacred are ordered but distinguished</w:t>
            </w:r>
          </w:p>
        </w:tc>
      </w:tr>
      <w:tr>
        <w:tc>
          <w:tcPr/>
          <w:p>
            <w:pPr>
              <w:pStyle w:val="Compact"/>
            </w:pPr>
            <w:r>
              <w:t xml:space="preserve">20</w:t>
            </w:r>
          </w:p>
        </w:tc>
        <w:tc>
          <w:tcPr/>
          <w:p>
            <w:pPr>
              <w:pStyle w:val="Compact"/>
            </w:pPr>
            <w:r>
              <w:t xml:space="preserve">Total measurement of the sacred district (25,000 × 25,000 cubits)</w:t>
            </w:r>
          </w:p>
        </w:tc>
        <w:tc>
          <w:tcPr/>
          <w:p>
            <w:pPr>
              <w:pStyle w:val="Compact"/>
            </w:pPr>
            <w:r>
              <w:t xml:space="preserve">Perfect square — mathematical completeness signals eschatological fullness</w:t>
            </w:r>
          </w:p>
        </w:tc>
      </w:tr>
      <w:tr>
        <w:tc>
          <w:tcPr/>
          <w:p>
            <w:pPr>
              <w:pStyle w:val="Compact"/>
            </w:pPr>
            <w:r>
              <w:t xml:space="preserve">21–22</w:t>
            </w:r>
          </w:p>
        </w:tc>
        <w:tc>
          <w:tcPr/>
          <w:p>
            <w:pPr>
              <w:pStyle w:val="Compact"/>
            </w:pPr>
            <w:r>
              <w:t xml:space="preserve">Prince’s portions flanking the sacred district on east and west</w:t>
            </w:r>
          </w:p>
        </w:tc>
        <w:tc>
          <w:tcPr/>
          <w:p>
            <w:pPr>
              <w:pStyle w:val="Compact"/>
            </w:pPr>
            <w:r>
              <w:t xml:space="preserve">The prince has generous provision but cannot intrude on the holy district — civil and cultic authority are properly ordered</w:t>
            </w:r>
          </w:p>
        </w:tc>
      </w:tr>
      <w:tr>
        <w:tc>
          <w:tcPr/>
          <w:p>
            <w:pPr>
              <w:pStyle w:val="Compact"/>
            </w:pPr>
            <w:r>
              <w:t xml:space="preserve">23</w:t>
            </w:r>
          </w:p>
        </w:tc>
        <w:tc>
          <w:tcPr/>
          <w:p>
            <w:pPr>
              <w:pStyle w:val="Compact"/>
            </w:pPr>
            <w:r>
              <w:t xml:space="preserve">Benjamin’s allotment — first south of the sacred district</w:t>
            </w:r>
          </w:p>
        </w:tc>
        <w:tc>
          <w:tcPr/>
          <w:p>
            <w:pPr>
              <w:pStyle w:val="Compact"/>
            </w:pPr>
            <w:r>
              <w:t xml:space="preserve">Benjamin’s proximity to the sacred center (with Judah on the north side) reflects the two southern tribes’ covenant closeness</w:t>
            </w:r>
          </w:p>
        </w:tc>
      </w:tr>
      <w:tr>
        <w:tc>
          <w:tcPr/>
          <w:p>
            <w:pPr>
              <w:pStyle w:val="Compact"/>
            </w:pPr>
            <w:r>
              <w:t xml:space="preserve">24–27</w:t>
            </w:r>
          </w:p>
        </w:tc>
        <w:tc>
          <w:tcPr/>
          <w:p>
            <w:pPr>
              <w:pStyle w:val="Compact"/>
            </w:pPr>
            <w:r>
              <w:t xml:space="preserve">Simeon, Issachar, Zebulun, Gad — southern allotments continuing to the southern border</w:t>
            </w:r>
          </w:p>
        </w:tc>
        <w:tc>
          <w:tcPr/>
          <w:p>
            <w:pPr>
              <w:pStyle w:val="Compact"/>
            </w:pPr>
            <w:r>
              <w:t xml:space="preserve">Historical rivalries and Jacob’s blessings/curses are not operative here; all receive equal portions</w:t>
            </w:r>
          </w:p>
        </w:tc>
      </w:tr>
      <w:tr>
        <w:tc>
          <w:tcPr/>
          <w:p>
            <w:pPr>
              <w:pStyle w:val="Compact"/>
            </w:pPr>
            <w:r>
              <w:t xml:space="preserve">28</w:t>
            </w:r>
          </w:p>
        </w:tc>
        <w:tc>
          <w:tcPr/>
          <w:p>
            <w:pPr>
              <w:pStyle w:val="Compact"/>
            </w:pPr>
            <w:r>
              <w:t xml:space="preserve">Southern boundary of Gad’s portion</w:t>
            </w:r>
          </w:p>
        </w:tc>
        <w:tc>
          <w:tcPr/>
          <w:p>
            <w:pPr>
              <w:pStyle w:val="Compact"/>
            </w:pPr>
            <w:r>
              <w:t xml:space="preserve">Defines the southernmost border of the land</w:t>
            </w:r>
          </w:p>
        </w:tc>
      </w:tr>
      <w:tr>
        <w:tc>
          <w:tcPr/>
          <w:p>
            <w:pPr>
              <w:pStyle w:val="Compact"/>
            </w:pPr>
            <w:r>
              <w:t xml:space="preserve">29</w:t>
            </w:r>
          </w:p>
        </w:tc>
        <w:tc>
          <w:tcPr/>
          <w:p>
            <w:pPr>
              <w:pStyle w:val="Compact"/>
            </w:pPr>
            <w:r>
              <w:t xml:space="preserve">Summary statement:</w:t>
            </w:r>
            <w:r>
              <w:t xml:space="preserve"> </w:t>
            </w:r>
            <w:r>
              <w:t xml:space="preserve">“This is the land that you shall allot as an inheritance among the tribes of Israel”</w:t>
            </w:r>
          </w:p>
        </w:tc>
        <w:tc>
          <w:tcPr/>
          <w:p>
            <w:pPr>
              <w:pStyle w:val="Compact"/>
            </w:pPr>
            <w:r>
              <w:t xml:space="preserve">Transitional close to the land allotment section</w:t>
            </w:r>
          </w:p>
        </w:tc>
      </w:tr>
      <w:tr>
        <w:tc>
          <w:tcPr/>
          <w:p>
            <w:pPr>
              <w:pStyle w:val="Compact"/>
            </w:pPr>
            <w:r>
              <w:t xml:space="preserve">30–34</w:t>
            </w:r>
          </w:p>
        </w:tc>
        <w:tc>
          <w:tcPr/>
          <w:p>
            <w:pPr>
              <w:pStyle w:val="Compact"/>
            </w:pPr>
            <w:r>
              <w:t xml:space="preserve">The four sides of the city and its twelve gates, named for the twelve tribes</w:t>
            </w:r>
          </w:p>
        </w:tc>
        <w:tc>
          <w:tcPr/>
          <w:p>
            <w:pPr>
              <w:pStyle w:val="Compact"/>
            </w:pPr>
            <w:r>
              <w:t xml:space="preserve">All twelve tribes represented — including Levi (normally landless) and Joseph (as one, not two); the city is for all God’s people</w:t>
            </w:r>
          </w:p>
        </w:tc>
      </w:tr>
      <w:tr>
        <w:tc>
          <w:tcPr/>
          <w:p>
            <w:pPr>
              <w:pStyle w:val="Compact"/>
            </w:pPr>
            <w:r>
              <w:t xml:space="preserve">35a</w:t>
            </w:r>
          </w:p>
        </w:tc>
        <w:tc>
          <w:tcPr/>
          <w:p>
            <w:pPr>
              <w:pStyle w:val="Compact"/>
            </w:pPr>
            <w:r>
              <w:t xml:space="preserve">The circumference of the city: 18,000 cubits</w:t>
            </w:r>
          </w:p>
        </w:tc>
        <w:tc>
          <w:tcPr/>
          <w:p>
            <w:pPr>
              <w:pStyle w:val="Compact"/>
            </w:pPr>
            <w:r>
              <w:t xml:space="preserve">The number has been interpreted symbolically (6 × 3,000; 3 × 6,000) — structured completeness</w:t>
            </w:r>
          </w:p>
        </w:tc>
      </w:tr>
      <w:tr>
        <w:tc>
          <w:tcPr/>
          <w:p>
            <w:pPr>
              <w:pStyle w:val="Compact"/>
            </w:pPr>
            <w:r>
              <w:t xml:space="preserve">35b</w:t>
            </w:r>
          </w:p>
        </w:tc>
        <w:tc>
          <w:tcPr/>
          <w:p>
            <w:pPr>
              <w:pStyle w:val="Compact"/>
            </w:pPr>
            <w:r>
              <w:rPr>
                <w:b/>
                <w:bCs/>
              </w:rPr>
              <w:t xml:space="preserve">“And the name of the city from that time on shall be: The LORD Is There”</w:t>
            </w:r>
            <w:r>
              <w:t xml:space="preserve"> </w:t>
            </w:r>
            <w:r>
              <w:t xml:space="preserve">(</w:t>
            </w:r>
            <w:r>
              <w:rPr>
                <w:i/>
                <w:iCs/>
              </w:rPr>
              <w:t xml:space="preserve">YHWH Shammah</w:t>
            </w:r>
            <w:r>
              <w:t xml:space="preserve">)</w:t>
            </w:r>
          </w:p>
        </w:tc>
        <w:tc>
          <w:tcPr/>
          <w:p>
            <w:pPr>
              <w:pStyle w:val="Compact"/>
            </w:pPr>
            <w:r>
              <w:t xml:space="preserve">The climax and theological summit of the entire book — everything has been moving toward this name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Northern Tribes: Seven Portions Descending to the Sacred Center</w:t>
            </w:r>
          </w:p>
        </w:tc>
      </w:tr>
      <w:tr>
        <w:tc>
          <w:tcPr/>
          <w:p>
            <w:pPr>
              <w:pStyle w:val="Compact"/>
            </w:pPr>
            <w:r>
              <w:t xml:space="preserve">2</w:t>
            </w:r>
          </w:p>
        </w:tc>
        <w:tc>
          <w:tcPr/>
          <w:p>
            <w:pPr>
              <w:pStyle w:val="Compact"/>
            </w:pPr>
            <w:r>
              <w:t xml:space="preserve">8–22</w:t>
            </w:r>
          </w:p>
        </w:tc>
        <w:tc>
          <w:tcPr/>
          <w:p>
            <w:pPr>
              <w:pStyle w:val="Compact"/>
            </w:pPr>
            <w:r>
              <w:t xml:space="preserve">The Sacred District: The Ordered Center of the Whole Land</w:t>
            </w:r>
          </w:p>
        </w:tc>
      </w:tr>
      <w:tr>
        <w:tc>
          <w:tcPr/>
          <w:p>
            <w:pPr>
              <w:pStyle w:val="Compact"/>
            </w:pPr>
            <w:r>
              <w:t xml:space="preserve">3</w:t>
            </w:r>
          </w:p>
        </w:tc>
        <w:tc>
          <w:tcPr/>
          <w:p>
            <w:pPr>
              <w:pStyle w:val="Compact"/>
            </w:pPr>
            <w:r>
              <w:t xml:space="preserve">23–29</w:t>
            </w:r>
          </w:p>
        </w:tc>
        <w:tc>
          <w:tcPr/>
          <w:p>
            <w:pPr>
              <w:pStyle w:val="Compact"/>
            </w:pPr>
            <w:r>
              <w:t xml:space="preserve">The Southern Tribes: Five Portions Descending from the Sacred Center</w:t>
            </w:r>
          </w:p>
        </w:tc>
      </w:tr>
      <w:tr>
        <w:tc>
          <w:tcPr/>
          <w:p>
            <w:pPr>
              <w:pStyle w:val="Compact"/>
            </w:pPr>
            <w:r>
              <w:t xml:space="preserve">4</w:t>
            </w:r>
          </w:p>
        </w:tc>
        <w:tc>
          <w:tcPr/>
          <w:p>
            <w:pPr>
              <w:pStyle w:val="Compact"/>
            </w:pPr>
            <w:r>
              <w:t xml:space="preserve">30–35</w:t>
            </w:r>
          </w:p>
        </w:tc>
        <w:tc>
          <w:tcPr/>
          <w:p>
            <w:pPr>
              <w:pStyle w:val="Compact"/>
            </w:pPr>
            <w:r>
              <w:t xml:space="preserve">The City and Its Name: The Final Word of the Book</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reclaims His land, orders it around His presence, and names the city for Himself forever.</w:t>
      </w:r>
    </w:p>
    <w:p>
      <w:pPr>
        <w:pStyle w:val="BodyText"/>
      </w:pPr>
      <w:r>
        <w:rPr>
          <w:b/>
          <w:bCs/>
        </w:rPr>
        <w:t xml:space="preserve">Primary Claim:</w:t>
      </w:r>
      <w:r>
        <w:t xml:space="preserve"> </w:t>
      </w:r>
      <w:r>
        <w:t xml:space="preserve">God is assuring His people that the exile does not have the last word — He will dwell among them permanently, and the entire created order will one day be organized around His presence; therefore they must not despair but live in the certainty of that future now.</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future God has promised reorganizes how you live in the present.</w:t>
      </w:r>
      <w:r>
        <w:t xml:space="preserve"> </w:t>
      </w:r>
      <w:r>
        <w:rPr>
          <w:i/>
          <w:iCs/>
        </w:rPr>
        <w:t xml:space="preserve">(Mind/belief)</w:t>
      </w:r>
      <w:r>
        <w:t xml:space="preserve"> </w:t>
      </w:r>
      <w:r>
        <w:t xml:space="preserve">Ezekiel’s exiled readers could not see a temple, a land, or a city. What they received was a vision — a detailed, mathematically precise, architecturally complete vision of what God had already determined to build. The application is not</w:t>
      </w:r>
      <w:r>
        <w:t xml:space="preserve"> </w:t>
      </w:r>
      <w:r>
        <w:t xml:space="preserve">“try harder to trust”</w:t>
      </w:r>
      <w:r>
        <w:t xml:space="preserve"> </w:t>
      </w:r>
      <w:r>
        <w:t xml:space="preserve">but</w:t>
      </w:r>
      <w:r>
        <w:t xml:space="preserve"> </w:t>
      </w:r>
      <w:r>
        <w:t xml:space="preserve">“look at what God has already committed to.”</w:t>
      </w:r>
      <w:r>
        <w:t xml:space="preserve"> </w:t>
      </w:r>
      <w:r>
        <w:t xml:space="preserve">When the future is this certain, the present is not groundless. The Christian who reads Ezekiel 48 alongside Revelation 21 is not guessing at outcomes — he is reading the blueprints. Reframe your present circumstances in light of the guaranteed city, not the temporary exile.</w:t>
      </w:r>
    </w:p>
    <w:p>
      <w:pPr>
        <w:pStyle w:val="BodyText"/>
      </w:pPr>
      <w:r>
        <w:rPr>
          <w:b/>
          <w:bCs/>
        </w:rPr>
        <w:t xml:space="preserve">2. The permanent presence of God is the goal of all of history — and it is coming.</w:t>
      </w:r>
      <w:r>
        <w:t xml:space="preserve"> </w:t>
      </w:r>
      <w:r>
        <w:rPr>
          <w:i/>
          <w:iCs/>
        </w:rPr>
        <w:t xml:space="preserve">(Affections/worship)</w:t>
      </w:r>
      <w:r>
        <w:t xml:space="preserve"> </w:t>
      </w:r>
      <w:r>
        <w:t xml:space="preserve">The name</w:t>
      </w:r>
      <w:r>
        <w:t xml:space="preserve"> </w:t>
      </w:r>
      <w:r>
        <w:rPr>
          <w:i/>
          <w:iCs/>
        </w:rPr>
        <w:t xml:space="preserve">YHWH Shammah</w:t>
      </w:r>
      <w:r>
        <w:t xml:space="preserve"> </w:t>
      </w:r>
      <w:r>
        <w:t xml:space="preserve">is not a decorative flourish at the end of a long book. It is the answer to the question Ezekiel 10 asked in devastating silence when the glory departed. Every loss of God’s felt presence — in exile, in grief, in spiritual dryness, in unanswered prayer — is a temporary condition. The permanent condition is the city named</w:t>
      </w:r>
      <w:r>
        <w:t xml:space="preserve"> </w:t>
      </w:r>
      <w:r>
        <w:rPr>
          <w:i/>
          <w:iCs/>
        </w:rPr>
        <w:t xml:space="preserve">The LORD Is There</w:t>
      </w:r>
      <w:r>
        <w:t xml:space="preserve">. Let this rekindle worship that is not dependent on present circumstances. The city whose name is God’s presence is your final address. Grieve present absence honestly — but do not let present absence define your expectations of God.</w:t>
      </w:r>
    </w:p>
    <w:p>
      <w:pPr>
        <w:pStyle w:val="BodyText"/>
      </w:pPr>
      <w:r>
        <w:rPr>
          <w:b/>
          <w:bCs/>
        </w:rPr>
        <w:t xml:space="preserve">3. No tribe is excluded; no member of God’s people is forgotten.</w:t>
      </w:r>
      <w:r>
        <w:t xml:space="preserve"> </w:t>
      </w:r>
      <w:r>
        <w:rPr>
          <w:i/>
          <w:iCs/>
        </w:rPr>
        <w:t xml:space="preserve">(Mind/belief)</w:t>
      </w:r>
      <w:r>
        <w:t xml:space="preserve"> </w:t>
      </w:r>
      <w:r>
        <w:t xml:space="preserve">The vision is striking in its comprehensiveness. Dan — the tribe associated with idolatry — gets a gate. Levi — historically landless — gets a gate. Every tribe is named, every gate is designated, every portion is measured. No one falls through the cracks of God’s eschatological ordering. For the reader who fears they are too disqualified, too obscure, or too far gone to have a place in God’s future — this chapter is a direct answer. Your name is on a gate. God’s accounting of His people is complete, not approximate.</w:t>
      </w:r>
    </w:p>
    <w:p>
      <w:pPr>
        <w:pStyle w:val="BodyText"/>
      </w:pPr>
      <w:r>
        <w:rPr>
          <w:b/>
          <w:bCs/>
        </w:rPr>
        <w:t xml:space="preserve">4. Let the ordering of the sacred district rebuke your disordered priorities.</w:t>
      </w:r>
      <w:r>
        <w:t xml:space="preserve"> </w:t>
      </w:r>
      <w:r>
        <w:rPr>
          <w:i/>
          <w:iCs/>
        </w:rPr>
        <w:t xml:space="preserve">(Affections/worship)</w:t>
      </w:r>
      <w:r>
        <w:t xml:space="preserve"> </w:t>
      </w:r>
      <w:r>
        <w:t xml:space="preserve">The entire vision is organized around the sanctuary — the presence of God at the center, with everything else taking its proper proportion around that center. The prince has ample provision, the city has its common land, the Levites have their portion — all of it correctly sized relative to the holy district. Ask what actually sits at the center of your life’s organizing structure. When work, family, comfort, or reputation occupy the center, everything else becomes distorted — oversized or undersized relative to what actually matters. The vision is an architectural sermon on ordered loves: God’s presence at the center orders everything else rightly.</w:t>
      </w:r>
    </w:p>
    <w:p>
      <w:pPr>
        <w:pStyle w:val="BodyText"/>
      </w:pPr>
      <w:r>
        <w:rPr>
          <w:b/>
          <w:bCs/>
        </w:rPr>
        <w:t xml:space="preserve">5. Read Revelation 21 and Ezekiel 48 together — and stop treating eschatology as speculation.</w:t>
      </w:r>
      <w:r>
        <w:t xml:space="preserve"> </w:t>
      </w:r>
      <w:r>
        <w:rPr>
          <w:i/>
          <w:iCs/>
        </w:rPr>
        <w:t xml:space="preserve">(Will/behavior)</w:t>
      </w:r>
      <w:r>
        <w:t xml:space="preserve"> </w:t>
      </w:r>
      <w:r>
        <w:t xml:space="preserve">The canonical trajectory from Ezekiel 48 to Revelation 21 is not an interpretive accident. John deliberately draws the city’s gates, the river, and the defining mark of the city (</w:t>
      </w:r>
      <w:r>
        <w:rPr>
          <w:i/>
          <w:iCs/>
        </w:rPr>
        <w:t xml:space="preserve">“the dwelling place of God is with man”</w:t>
      </w:r>
      <w:r>
        <w:t xml:space="preserve">) from Ezekiel’s vision. This means eschatology is not speculation about timelines — it is the revealed architecture of the future that God has determined to build. Practically: engage your church’s teaching on the new creation with the same seriousness you give to your present life. Read Revelation 21–22 as the chapter that answers Ezekiel 48. Stop treating the end of the Bible as an appendix to be decoded and start treating it as the destination to be inhabited in hope.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48 teaches that God’s ultimate purpose is not merely the forgiveness of sin or the deliverance of His people from danger, but His permanent, unmediated, ordering presence among them. The name</w:t>
      </w:r>
      <w:r>
        <w:t xml:space="preserve"> </w:t>
      </w:r>
      <w:r>
        <w:rPr>
          <w:i/>
          <w:iCs/>
        </w:rPr>
        <w:t xml:space="preserve">YHWH Shammah</w:t>
      </w:r>
      <w:r>
        <w:t xml:space="preserve"> </w:t>
      </w:r>
      <w:r>
        <w:t xml:space="preserve">—</w:t>
      </w:r>
      <w:r>
        <w:t xml:space="preserve"> </w:t>
      </w:r>
      <w:r>
        <w:t xml:space="preserve">“The LORD Is There”</w:t>
      </w:r>
      <w:r>
        <w:t xml:space="preserve"> </w:t>
      </w:r>
      <w:r>
        <w:t xml:space="preserve">— is the theological summit not only of Ezekiel but of the entire Old Testament’s covenant trajectory, which moves from God walking in the garden (Genesis 3) through the tabernacle and temple to this final vision of a city permanently named for His presence. The chapter also teaches that God’s restoration is ordered and complete, not improvised — the mathematical precision of the sacred district and the symmetry of the tribal allotments communicate that God’s future for His people is fully planned, fully measured, and fully guaranteed. Nothing has been left to chance, and no member of the covenant community has been overlooked.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48 is a crucial text for Reformed covenant theology because it demonstrates that the land promises made to Abraham are not abandoned but transformed and escalated — the eschatological vision does not shrink the promise but expands it into new creation proportions. The Reformed instinct to read the tribal allotments typologically (pointing to the New Jerusalem of Revelation 21–22) is not a retreat from the concreteness of the covenant promise but a recognition that the covenant promise was always moving toward something more, not less, concrete than an earthly geography. The vision also functions as a powerful statement of grace: the very tribes who failed, scattered, and sinned are restored to their portions — not because they earned reinstatement but because God’s covenant faithfulness outlasts human unfaithfulness. This is the gospel logic of the entire closing vision of Ezekiel: the new temple, the new land, the new city are all divine initiative, divine construction, and divine gift — the human contribution is to inhabit what God builds, not to build their way back to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exile doesn’t have the last word — God does, and His last word is His own name on the city:</w:t>
      </w:r>
      <w:r>
        <w:t xml:space="preserve"> </w:t>
      </w:r>
      <w:r>
        <w:rPr>
          <w:i/>
          <w:iCs/>
        </w:rPr>
        <w:t xml:space="preserve">The LORD Is There</w:t>
      </w:r>
      <w:r>
        <w:t xml:space="preserve">. Every dark season, every season of spiritual distance, every circumstance that makes God’s presence seem remote or provisional is answering to a future that has already been architecturally designed, measured, and named. Live from that certainty. The city is coming. Its name is God’s presence. And there is a gate with your tribe’s name on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unapproachable because of its apparent technical nature.</w:t>
      </w:r>
      <w:r>
        <w:t xml:space="preserve"> </w:t>
      </w:r>
      <w:r>
        <w:t xml:space="preserve">Ezekiel 48 is frequently skipped or mentioned only in passing because it reads like a surveying document rather than a sermon. This is a significant homiletical failure. The chapter is in fact the theological climax of the entire book — the answer to the glory’s departure in chapters 10–11. Preachers who acknowledge this structure will find the chapter opens naturally once they show their congregation what the question is (chapters 10–11) and what this chapter answers.</w:t>
      </w:r>
    </w:p>
    <w:p>
      <w:pPr>
        <w:numPr>
          <w:ilvl w:val="0"/>
          <w:numId w:val="1002"/>
        </w:numPr>
      </w:pPr>
      <w:r>
        <w:rPr>
          <w:b/>
          <w:bCs/>
        </w:rPr>
        <w:t xml:space="preserve">Getting lost in the details and missing the theological summit.</w:t>
      </w:r>
      <w:r>
        <w:t xml:space="preserve"> </w:t>
      </w:r>
      <w:r>
        <w:t xml:space="preserve">The inverse error is to spend the majority of exposition time explaining the tribal allotments and sacred district measurements without building clearly toward verse 35. Every structural detail in the chapter exists to serve the final name. The measurements describe the ordered comprehensiveness of God’s future presence;</w:t>
      </w:r>
      <w:r>
        <w:t xml:space="preserve"> </w:t>
      </w:r>
      <w:r>
        <w:rPr>
          <w:i/>
          <w:iCs/>
        </w:rPr>
        <w:t xml:space="preserve">YHWH Shammah</w:t>
      </w:r>
      <w:r>
        <w:t xml:space="preserve"> </w:t>
      </w:r>
      <w:r>
        <w:t xml:space="preserve">is the point. Preach through the structure toward the name, not around it.</w:t>
      </w:r>
    </w:p>
    <w:p>
      <w:pPr>
        <w:numPr>
          <w:ilvl w:val="0"/>
          <w:numId w:val="1002"/>
        </w:numPr>
      </w:pPr>
      <w:r>
        <w:rPr>
          <w:b/>
          <w:bCs/>
        </w:rPr>
        <w:t xml:space="preserve">Over-literalizing the geography in ways that generate unnecessary controversy.</w:t>
      </w:r>
      <w:r>
        <w:t xml:space="preserve"> </w:t>
      </w:r>
      <w:r>
        <w:t xml:space="preserve">Especially in congregations with dispensational backgrounds, preachers may feel pressure to take a position on the millennial temple question before they can exposit the passage. The better path is to let the text itself demonstrate its visionary and idealized character (equal horizontal tribal strips across topographically varied land; a city larger than modern Jerusalem; perfectly mathematical sacred district proportions) and then show how Revelation 21–22 handles the imagery canonically. This is not avoiding the question — it is answering it from the text rather than from a systematic framework imposed on the text.</w:t>
      </w:r>
    </w:p>
    <w:p>
      <w:pPr>
        <w:numPr>
          <w:ilvl w:val="0"/>
          <w:numId w:val="1002"/>
        </w:numPr>
      </w:pPr>
      <w:r>
        <w:rPr>
          <w:b/>
          <w:bCs/>
        </w:rPr>
        <w:t xml:space="preserve">Moralizing the sacred district’s ordering into a time-management sermon.</w:t>
      </w:r>
      <w:r>
        <w:t xml:space="preserve"> </w:t>
      </w:r>
      <w:r>
        <w:t xml:space="preserve">The ordering of the sacred district (sanctuary at center, all else proportioned around it) is genuine theological content about the proper structure of worship and creation under God’s presence. But it must not be reduced to</w:t>
      </w:r>
      <w:r>
        <w:t xml:space="preserve"> </w:t>
      </w:r>
      <w:r>
        <w:t xml:space="preserve">“God should be first on your priority list”</w:t>
      </w:r>
      <w:r>
        <w:t xml:space="preserve"> </w:t>
      </w:r>
      <w:r>
        <w:t xml:space="preserve">as a behavioral program. The chapter is not a life-planning tool — it is a vision of what God will build. The application to ordered loves flows from the gospel: God’s presence at the center reorders everything else; this is a gift and a call, not a performance metric.</w:t>
      </w:r>
    </w:p>
    <w:p>
      <w:pPr>
        <w:numPr>
          <w:ilvl w:val="0"/>
          <w:numId w:val="1002"/>
        </w:numPr>
      </w:pPr>
      <w:r>
        <w:rPr>
          <w:b/>
          <w:bCs/>
        </w:rPr>
        <w:t xml:space="preserve">Preaching the tribal inclusivity (all twelve named; Dan included; Levi included) without connecting it to the gospel ground.</w:t>
      </w:r>
      <w:r>
        <w:t xml:space="preserve"> </w:t>
      </w:r>
      <w:r>
        <w:t xml:space="preserve">The recovery of Dan and the inclusion of Levi among the gated tribes is genuinely striking and warrants exposition — but the preacher must ground the application in grace, not aspiration. The tribes are not included because they reformed; they are included because God’s covenant faithfulness exceeds their unfaithfulness. The application (</w:t>
      </w:r>
      <w:r>
        <w:t xml:space="preserve">“there is a place for you”</w:t>
      </w:r>
      <w:r>
        <w:t xml:space="preserve">) lands rightly only when it lands on the grace that secures it, not on the human effort that might or might not achieve it.</w:t>
      </w:r>
    </w:p>
    <w:p>
      <w:pPr>
        <w:numPr>
          <w:ilvl w:val="0"/>
          <w:numId w:val="1002"/>
        </w:numPr>
      </w:pPr>
      <w:r>
        <w:rPr>
          <w:b/>
          <w:bCs/>
        </w:rPr>
        <w:t xml:space="preserve">Failing to connect Ezekiel 48 to Revelation 21–22 in a way that illuminates both.</w:t>
      </w:r>
      <w:r>
        <w:t xml:space="preserve"> </w:t>
      </w:r>
      <w:r>
        <w:t xml:space="preserve">The canonical connection between these passages is not a clever cross-reference — it is the interpretive key to both. John wrote Revelation 21 with Ezekiel 40–48 open, and Ezekiel 48 cannot be fully understood without its New Testament destination. A sermon that treats the chapter in isolation from its canonical fulfillment will inevitably either over-literalize (seeing a future rebuilt temple) or under-realize (reducing the vision to historical context only). The connection must be made, clearly, in the sermon.</w:t>
      </w:r>
    </w:p>
    <w:p>
      <w:r>
        <w:pict>
          <v:rect style="width:0;height:1.5pt" o:hralign="center" o:hrstd="t" o:hr="t"/>
        </w:pict>
      </w:r>
    </w:p>
    <w:p>
      <w:pPr>
        <w:pStyle w:val="FirstParagraph"/>
      </w:pPr>
      <w:r>
        <w:rPr>
          <w:i/>
          <w:iCs/>
        </w:rPr>
        <w:t xml:space="preserve">Document: 26 Ezekiel 48.docx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2026-07-14T21:06:32Z</dcterms:created>
  <dcterms:modified xsi:type="dcterms:W3CDTF">2026-07-14T21:06:32Z</dcterms:modified>
</cp:coreProperties>
</file>

<file path=docProps/custom.xml><?xml version="1.0" encoding="utf-8"?>
<Properties xmlns="http://schemas.openxmlformats.org/officeDocument/2006/custom-properties" xmlns:vt="http://schemas.openxmlformats.org/officeDocument/2006/docPropsVTypes"/>
</file>